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CB124" w14:textId="053D36BE" w:rsidR="00802171" w:rsidRDefault="00802171" w:rsidP="007D3FA9">
      <w:pPr>
        <w:spacing w:line="240" w:lineRule="exact"/>
        <w:rPr>
          <w:rFonts w:ascii="Times New Roman" w:hAnsi="Times New Roman" w:cs="Times New Roman"/>
          <w:sz w:val="18"/>
          <w:szCs w:val="18"/>
          <w:lang w:bidi="ar-AE"/>
        </w:rPr>
      </w:pPr>
      <w:bookmarkStart w:id="0" w:name="_GoBack"/>
      <w:bookmarkEnd w:id="0"/>
    </w:p>
    <w:p w14:paraId="747E4E35" w14:textId="4B27F855" w:rsidR="00802171" w:rsidRDefault="00802171" w:rsidP="00802171">
      <w:pPr>
        <w:spacing w:line="240" w:lineRule="exact"/>
        <w:jc w:val="center"/>
        <w:rPr>
          <w:rFonts w:ascii="Dubai" w:eastAsia="Times New Roman" w:hAnsi="Dubai" w:cs="Dubai"/>
          <w:b/>
          <w:bCs/>
          <w:color w:val="000000"/>
        </w:rPr>
      </w:pPr>
      <w:r>
        <w:rPr>
          <w:rFonts w:ascii="Dubai" w:eastAsia="Times New Roman" w:hAnsi="Dubai" w:cs="Dubai"/>
          <w:b/>
          <w:bCs/>
          <w:color w:val="000000"/>
        </w:rPr>
        <w:t xml:space="preserve">DEWA, </w:t>
      </w:r>
      <w:r w:rsidRPr="004910D1">
        <w:rPr>
          <w:rFonts w:ascii="Dubai" w:eastAsia="Times New Roman" w:hAnsi="Dubai" w:cs="Dubai"/>
          <w:b/>
          <w:bCs/>
          <w:color w:val="000000"/>
        </w:rPr>
        <w:t>a continuous success story</w:t>
      </w:r>
    </w:p>
    <w:p w14:paraId="576EB037" w14:textId="08D64C19" w:rsidR="00802171" w:rsidRDefault="00802171" w:rsidP="00802171">
      <w:pPr>
        <w:spacing w:line="240" w:lineRule="exact"/>
        <w:jc w:val="center"/>
        <w:rPr>
          <w:rFonts w:ascii="Dubai" w:eastAsia="Times New Roman" w:hAnsi="Dubai" w:cs="Dubai"/>
          <w:b/>
          <w:bCs/>
          <w:color w:val="000000"/>
        </w:rPr>
      </w:pPr>
    </w:p>
    <w:p w14:paraId="20321FDE" w14:textId="5421F2F8" w:rsidR="00802171" w:rsidRDefault="00802171" w:rsidP="00802171">
      <w:pPr>
        <w:spacing w:line="240" w:lineRule="exact"/>
        <w:jc w:val="center"/>
        <w:rPr>
          <w:rFonts w:ascii="Dubai" w:eastAsia="Times New Roman" w:hAnsi="Dubai" w:cs="Dubai"/>
          <w:b/>
          <w:bCs/>
          <w:color w:val="000000"/>
        </w:rPr>
      </w:pPr>
    </w:p>
    <w:p w14:paraId="64D8D7F3" w14:textId="77777777" w:rsidR="00802171" w:rsidRPr="005D71FF" w:rsidRDefault="00802171" w:rsidP="00802171">
      <w:pPr>
        <w:spacing w:after="120"/>
        <w:jc w:val="both"/>
        <w:textAlignment w:val="baseline"/>
        <w:rPr>
          <w:rFonts w:ascii="Dubai" w:eastAsia="Times New Roman" w:hAnsi="Dubai" w:cs="Dubai"/>
          <w:color w:val="000000"/>
        </w:rPr>
      </w:pPr>
      <w:r w:rsidRPr="005D71FF">
        <w:rPr>
          <w:rFonts w:ascii="Dubai" w:eastAsia="Times New Roman" w:hAnsi="Dubai" w:cs="Dubai"/>
          <w:color w:val="000000"/>
        </w:rPr>
        <w:t xml:space="preserve">Dubai Electricity and Water Authority (DEWA) was formed on 1 January 1992, by a decree issued by the late Sheikh Maktoum bin Rashid Al Maktoum to merge Dubai Electricity Company and Dubai Water Department, which had been operating independently before then. Both organisations were established by the late Sheikh Rashid bin Saeed Al Maktoum in 1959. Dubai Government fully supported the two organisations to provide Dubai’s citizens and residents with their electricity and water needs. </w:t>
      </w:r>
    </w:p>
    <w:p w14:paraId="6DE164E2" w14:textId="77777777" w:rsidR="00802171" w:rsidRPr="005D71FF" w:rsidRDefault="00802171" w:rsidP="00802171">
      <w:pPr>
        <w:spacing w:after="120"/>
        <w:jc w:val="both"/>
        <w:textAlignment w:val="baseline"/>
        <w:rPr>
          <w:rFonts w:ascii="Dubai" w:hAnsi="Dubai" w:cs="Dubai"/>
          <w:lang w:val="en-GB"/>
        </w:rPr>
      </w:pPr>
      <w:r w:rsidRPr="005D71FF">
        <w:rPr>
          <w:rFonts w:ascii="Dubai" w:eastAsia="Times New Roman" w:hAnsi="Dubai" w:cs="Dubai"/>
          <w:color w:val="000000"/>
        </w:rPr>
        <w:t>Since its establishment, DEWA has made considerable achievements, to be ranked as one of the best utilities in the world. Today, DEWA provides its services to more than one million customers in Dubai, according to the highest standards of efficiency, reliability, and availability.</w:t>
      </w:r>
    </w:p>
    <w:p w14:paraId="7AE8299C" w14:textId="77777777" w:rsidR="00802171" w:rsidRDefault="00802171" w:rsidP="00802171">
      <w:pPr>
        <w:spacing w:after="120"/>
        <w:jc w:val="both"/>
        <w:textAlignment w:val="baseline"/>
        <w:rPr>
          <w:rFonts w:ascii="Dubai" w:hAnsi="Dubai" w:cs="Dubai"/>
          <w:lang w:val="en-GB"/>
        </w:rPr>
      </w:pPr>
      <w:r w:rsidRPr="005D71FF">
        <w:rPr>
          <w:rFonts w:ascii="Dubai" w:hAnsi="Dubai" w:cs="Dubai"/>
          <w:lang w:val="en-GB"/>
        </w:rPr>
        <w:t xml:space="preserve">In April 2022, DEWA was listed on the Dubai Financial Market (DFM). DEWA became the largest listed company in the market, with a market value of AED 124 billion (USD 33.8 billion). The offering included the sale of 9 billion shares, representing 18% of its capital. </w:t>
      </w:r>
    </w:p>
    <w:p w14:paraId="37913B16" w14:textId="77777777" w:rsidR="00802171" w:rsidRPr="0028753B" w:rsidRDefault="00802171" w:rsidP="00802171">
      <w:pPr>
        <w:spacing w:after="120"/>
        <w:jc w:val="both"/>
        <w:textAlignment w:val="baseline"/>
        <w:rPr>
          <w:rFonts w:ascii="Dubai" w:hAnsi="Dubai" w:cs="Dubai"/>
          <w:lang w:val="en-GB"/>
        </w:rPr>
      </w:pPr>
      <w:r>
        <w:rPr>
          <w:rFonts w:ascii="Dubai" w:hAnsi="Dubai" w:cs="Dubai"/>
          <w:lang w:val="en-GB"/>
        </w:rPr>
        <w:t>DEWA (</w:t>
      </w:r>
      <w:r w:rsidRPr="003171A3">
        <w:rPr>
          <w:rFonts w:ascii="Dubai" w:hAnsi="Dubai" w:cs="Dubai"/>
        </w:rPr>
        <w:t>PJSC</w:t>
      </w:r>
      <w:r>
        <w:rPr>
          <w:rFonts w:ascii="Dubai" w:hAnsi="Dubai" w:cs="Dubai"/>
        </w:rPr>
        <w:t>)</w:t>
      </w:r>
      <w:r w:rsidRPr="003171A3">
        <w:rPr>
          <w:rFonts w:ascii="Dubai" w:hAnsi="Dubai" w:cs="Dubai"/>
        </w:rPr>
        <w:t xml:space="preserve"> </w:t>
      </w:r>
      <w:r w:rsidRPr="003171A3">
        <w:rPr>
          <w:rFonts w:ascii="Dubai" w:hAnsi="Dubai" w:cs="Dubai"/>
          <w:lang w:val="en-GB"/>
        </w:rPr>
        <w:t>achieved</w:t>
      </w:r>
      <w:r>
        <w:rPr>
          <w:rFonts w:ascii="Dubai" w:hAnsi="Dubai" w:cs="Dubai"/>
        </w:rPr>
        <w:t xml:space="preserve"> </w:t>
      </w:r>
      <w:r w:rsidRPr="003171A3">
        <w:rPr>
          <w:rFonts w:ascii="Dubai" w:hAnsi="Dubai" w:cs="Dubai"/>
        </w:rPr>
        <w:t xml:space="preserve">record standalone 2022 net profit of AED 11.1 billion, </w:t>
      </w:r>
      <w:r>
        <w:rPr>
          <w:rFonts w:ascii="Dubai" w:hAnsi="Dubai" w:cs="Dubai"/>
        </w:rPr>
        <w:t xml:space="preserve">and </w:t>
      </w:r>
      <w:r w:rsidRPr="003171A3">
        <w:rPr>
          <w:rFonts w:ascii="Dubai" w:hAnsi="Dubai" w:cs="Dubai"/>
        </w:rPr>
        <w:t>consolidated 2022 net profit of AED 8.0 billion</w:t>
      </w:r>
      <w:r>
        <w:rPr>
          <w:rFonts w:ascii="Dubai" w:hAnsi="Dubai" w:cs="Dubai"/>
        </w:rPr>
        <w:t xml:space="preserve">. </w:t>
      </w:r>
      <w:r w:rsidRPr="0028753B">
        <w:rPr>
          <w:rFonts w:ascii="Dubai" w:hAnsi="Dubai" w:cs="Dubai"/>
        </w:rPr>
        <w:t>For the full year 2022, DEWA has increased its total dividend pay-out to its shareholders to AED 9.90</w:t>
      </w:r>
      <w:r>
        <w:rPr>
          <w:rFonts w:ascii="Dubai" w:hAnsi="Dubai" w:cs="Dubai"/>
        </w:rPr>
        <w:t xml:space="preserve"> billion</w:t>
      </w:r>
      <w:r w:rsidRPr="0028753B">
        <w:rPr>
          <w:rFonts w:ascii="Dubai" w:hAnsi="Dubai" w:cs="Dubai"/>
        </w:rPr>
        <w:t>, representing a 60% increase from the company’s minimum annual dividend policy</w:t>
      </w:r>
      <w:r>
        <w:rPr>
          <w:rFonts w:ascii="Dubai" w:hAnsi="Dubai" w:cs="Dubai"/>
        </w:rPr>
        <w:t>.</w:t>
      </w:r>
    </w:p>
    <w:p w14:paraId="599486BE" w14:textId="77777777" w:rsidR="00802171" w:rsidRPr="005D71FF" w:rsidRDefault="00802171" w:rsidP="00802171">
      <w:pPr>
        <w:spacing w:after="120"/>
        <w:jc w:val="both"/>
        <w:rPr>
          <w:rFonts w:ascii="Dubai" w:hAnsi="Dubai" w:cs="Dubai"/>
        </w:rPr>
      </w:pPr>
      <w:r w:rsidRPr="005D71FF">
        <w:rPr>
          <w:rFonts w:ascii="Dubai" w:hAnsi="Dubai" w:cs="Dubai"/>
        </w:rPr>
        <w:t xml:space="preserve">DEWA’s sustainable growth is driven by various factors, including the growing demand for power and water in Dubai. As Dubai’s exclusive power and water provider, DEWA provides its services to 3.541 million people living in Dubai and the Emirate’s active daytime population of over 4.7 million. These numbers are expected to grow to 5.8 million and 7.8 million, respectively, by 2040. </w:t>
      </w:r>
      <w:r>
        <w:rPr>
          <w:rFonts w:ascii="Dubai" w:hAnsi="Dubai" w:cs="Dubai"/>
          <w:lang w:val="en-GB"/>
        </w:rPr>
        <w:t xml:space="preserve"> </w:t>
      </w:r>
      <w:r w:rsidRPr="0028753B">
        <w:rPr>
          <w:rFonts w:ascii="Dubai" w:hAnsi="Dubai" w:cs="Dubai"/>
          <w:lang w:val="en-GB"/>
        </w:rPr>
        <w:t>By the end of 2022, DEWA served 1,157,501 customers, representing an increase of 14,438 customers from the third quarter of 2022. DEWA added 51,089 new customers in 2022, which is a 4.6% increase from 2021.</w:t>
      </w:r>
    </w:p>
    <w:p w14:paraId="3572FDE5" w14:textId="3202195D" w:rsidR="00802171" w:rsidRPr="00802171" w:rsidRDefault="00802171" w:rsidP="00802171">
      <w:pPr>
        <w:spacing w:after="120"/>
        <w:jc w:val="both"/>
        <w:rPr>
          <w:rFonts w:ascii="Dubai" w:hAnsi="Dubai" w:cs="Dubai"/>
          <w:lang w:val="en-GB"/>
        </w:rPr>
      </w:pPr>
      <w:r w:rsidRPr="00802171">
        <w:rPr>
          <w:rFonts w:ascii="Dubai" w:hAnsi="Dubai" w:cs="Dubai"/>
          <w:lang w:val="en-GB"/>
        </w:rPr>
        <w:t>DEWA’s results surpass major European and American utilities in several indicators. Losses from electricity transmission and distribution networks were reduced to 2.2% compared to 6-7% in Europe and the USA. Water network losses were also reduced to 4.5% compared to 15% in North America. DEWA has achieved a new world record in electricity Customer Minutes Lost (CML) per year. Dubai recorded 1.19 minutes per customer, compared to around 15 minutes recorded by leading utility companies in the European Union.</w:t>
      </w:r>
    </w:p>
    <w:p w14:paraId="07891845" w14:textId="77777777" w:rsidR="00802171" w:rsidRPr="00802171" w:rsidRDefault="00802171" w:rsidP="00802171">
      <w:pPr>
        <w:spacing w:after="120"/>
        <w:jc w:val="both"/>
        <w:rPr>
          <w:rFonts w:ascii="Dubai" w:hAnsi="Dubai" w:cs="Dubai"/>
          <w:rtl/>
          <w:lang w:val="en-GB"/>
        </w:rPr>
      </w:pPr>
    </w:p>
    <w:p w14:paraId="441E9587" w14:textId="77777777" w:rsidR="004910D1" w:rsidRPr="00802171" w:rsidRDefault="004910D1" w:rsidP="00802171">
      <w:pPr>
        <w:spacing w:after="120"/>
        <w:jc w:val="both"/>
        <w:rPr>
          <w:rFonts w:ascii="Dubai" w:hAnsi="Dubai" w:cs="Dubai"/>
          <w:rtl/>
          <w:lang w:val="en-GB"/>
        </w:rPr>
      </w:pPr>
    </w:p>
    <w:sectPr w:rsidR="004910D1" w:rsidRPr="00802171" w:rsidSect="00EC2500">
      <w:headerReference w:type="default" r:id="rId8"/>
      <w:footerReference w:type="default" r:id="rId9"/>
      <w:pgSz w:w="11907" w:h="16839" w:code="9"/>
      <w:pgMar w:top="1890" w:right="567" w:bottom="1985" w:left="630" w:header="188"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BE839" w14:textId="77777777" w:rsidR="003846C6" w:rsidRDefault="003846C6" w:rsidP="005E2D28">
      <w:r>
        <w:separator/>
      </w:r>
    </w:p>
  </w:endnote>
  <w:endnote w:type="continuationSeparator" w:id="0">
    <w:p w14:paraId="3F72A5DF" w14:textId="77777777" w:rsidR="003846C6" w:rsidRDefault="003846C6" w:rsidP="005E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ubai">
    <w:altName w:val="Segoe U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B8695" w14:textId="44199E6C" w:rsidR="00C97BE0" w:rsidRDefault="00C97BE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C6BB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C6BBA">
      <w:rPr>
        <w:b/>
        <w:bCs/>
        <w:noProof/>
      </w:rPr>
      <w:t>1</w:t>
    </w:r>
    <w:r>
      <w:rPr>
        <w:b/>
        <w:bCs/>
        <w:sz w:val="24"/>
        <w:szCs w:val="24"/>
      </w:rPr>
      <w:fldChar w:fldCharType="end"/>
    </w:r>
  </w:p>
  <w:p w14:paraId="2456EEDA" w14:textId="77777777" w:rsidR="00C97BE0" w:rsidRDefault="004910D1" w:rsidP="00C97BE0">
    <w:pPr>
      <w:pStyle w:val="Footer"/>
      <w:tabs>
        <w:tab w:val="left" w:pos="10710"/>
      </w:tabs>
      <w:jc w:val="center"/>
    </w:pPr>
    <w:r w:rsidRPr="006A568A">
      <w:rPr>
        <w:noProof/>
      </w:rPr>
      <w:drawing>
        <wp:inline distT="0" distB="0" distL="0" distR="0" wp14:anchorId="0A89AD07" wp14:editId="5EBFA2C2">
          <wp:extent cx="6800850" cy="7747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0850" cy="7747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BAA85" w14:textId="77777777" w:rsidR="003846C6" w:rsidRDefault="003846C6" w:rsidP="005E2D28">
      <w:r>
        <w:separator/>
      </w:r>
    </w:p>
  </w:footnote>
  <w:footnote w:type="continuationSeparator" w:id="0">
    <w:p w14:paraId="63F8F76E" w14:textId="77777777" w:rsidR="003846C6" w:rsidRDefault="003846C6" w:rsidP="005E2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6C987" w14:textId="77777777" w:rsidR="00156744" w:rsidRDefault="004910D1">
    <w:pPr>
      <w:pStyle w:val="Header"/>
    </w:pPr>
    <w:r w:rsidRPr="00EA5A6D">
      <w:rPr>
        <w:noProof/>
      </w:rPr>
      <w:drawing>
        <wp:inline distT="0" distB="0" distL="0" distR="0" wp14:anchorId="14403A8B" wp14:editId="7F12AD27">
          <wp:extent cx="6794500" cy="1035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0" cy="1035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CB3B3A"/>
    <w:multiLevelType w:val="hybridMultilevel"/>
    <w:tmpl w:val="A9268008"/>
    <w:lvl w:ilvl="0" w:tplc="C2886D7E">
      <w:start w:val="1"/>
      <w:numFmt w:val="bullet"/>
      <w:lvlText w:val="q"/>
      <w:lvlJc w:val="left"/>
      <w:pPr>
        <w:ind w:left="720" w:hanging="360"/>
      </w:pPr>
      <w:rPr>
        <w:rFonts w:ascii="Wingdings" w:hAnsi="Wingdings" w:cs="Wingdings" w:hint="default"/>
        <w:caps w:val="0"/>
        <w:strike w:val="0"/>
        <w:dstrike w:val="0"/>
        <w:vanish w:val="0"/>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2"/>
  <w:activeWritingStyle w:appName="MSWord" w:lang="ar-SA" w:vendorID="64" w:dllVersion="6" w:nlCheck="1" w:checkStyle="0"/>
  <w:activeWritingStyle w:appName="MSWord" w:lang="ar-AE" w:vendorID="64" w:dllVersion="6" w:nlCheck="1" w:checkStyle="0"/>
  <w:activeWritingStyle w:appName="MSWord" w:lang="en-US" w:vendorID="64" w:dllVersion="6" w:nlCheck="1" w:checkStyle="1"/>
  <w:activeWritingStyle w:appName="MSWord" w:lang="en-GB" w:vendorID="64" w:dllVersion="6" w:nlCheck="1" w:checkStyle="1"/>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0D1"/>
    <w:rsid w:val="00025EC3"/>
    <w:rsid w:val="0006563D"/>
    <w:rsid w:val="00090A2C"/>
    <w:rsid w:val="0009334D"/>
    <w:rsid w:val="000A5109"/>
    <w:rsid w:val="000B1711"/>
    <w:rsid w:val="000C4BB6"/>
    <w:rsid w:val="000F2D8D"/>
    <w:rsid w:val="001177ED"/>
    <w:rsid w:val="001229CF"/>
    <w:rsid w:val="00156744"/>
    <w:rsid w:val="00176273"/>
    <w:rsid w:val="00181D02"/>
    <w:rsid w:val="00185E75"/>
    <w:rsid w:val="00195FEF"/>
    <w:rsid w:val="001C0B6A"/>
    <w:rsid w:val="001E68FF"/>
    <w:rsid w:val="001F1428"/>
    <w:rsid w:val="001F2F46"/>
    <w:rsid w:val="001F732E"/>
    <w:rsid w:val="00202562"/>
    <w:rsid w:val="00216A25"/>
    <w:rsid w:val="00217C5E"/>
    <w:rsid w:val="00217D42"/>
    <w:rsid w:val="002211A7"/>
    <w:rsid w:val="00274D00"/>
    <w:rsid w:val="0028753B"/>
    <w:rsid w:val="0029544D"/>
    <w:rsid w:val="002A1E0F"/>
    <w:rsid w:val="002B1207"/>
    <w:rsid w:val="002C07BD"/>
    <w:rsid w:val="002D35D6"/>
    <w:rsid w:val="00304299"/>
    <w:rsid w:val="003073CD"/>
    <w:rsid w:val="003100FA"/>
    <w:rsid w:val="003171A3"/>
    <w:rsid w:val="00353218"/>
    <w:rsid w:val="003645AD"/>
    <w:rsid w:val="003846C6"/>
    <w:rsid w:val="003A5B1E"/>
    <w:rsid w:val="003D1534"/>
    <w:rsid w:val="003E163A"/>
    <w:rsid w:val="003F0017"/>
    <w:rsid w:val="00406C0B"/>
    <w:rsid w:val="004270EC"/>
    <w:rsid w:val="004355A1"/>
    <w:rsid w:val="00485CF2"/>
    <w:rsid w:val="00487877"/>
    <w:rsid w:val="004910D1"/>
    <w:rsid w:val="00491AB0"/>
    <w:rsid w:val="00491D6A"/>
    <w:rsid w:val="004C6BBA"/>
    <w:rsid w:val="004D1480"/>
    <w:rsid w:val="004E5296"/>
    <w:rsid w:val="004E6293"/>
    <w:rsid w:val="00505C1A"/>
    <w:rsid w:val="0051122E"/>
    <w:rsid w:val="005323DF"/>
    <w:rsid w:val="005538AA"/>
    <w:rsid w:val="005560B9"/>
    <w:rsid w:val="0056344A"/>
    <w:rsid w:val="0057358F"/>
    <w:rsid w:val="005B022D"/>
    <w:rsid w:val="005B6A9E"/>
    <w:rsid w:val="005C36B8"/>
    <w:rsid w:val="005D71FF"/>
    <w:rsid w:val="005E2D28"/>
    <w:rsid w:val="005F0355"/>
    <w:rsid w:val="005F3ECB"/>
    <w:rsid w:val="006116B1"/>
    <w:rsid w:val="006554AA"/>
    <w:rsid w:val="00681F86"/>
    <w:rsid w:val="00684F30"/>
    <w:rsid w:val="00697A37"/>
    <w:rsid w:val="006B3CBB"/>
    <w:rsid w:val="006D2BBD"/>
    <w:rsid w:val="006D56B3"/>
    <w:rsid w:val="006F0E45"/>
    <w:rsid w:val="006F1F7B"/>
    <w:rsid w:val="00770DFE"/>
    <w:rsid w:val="00790B8C"/>
    <w:rsid w:val="0079363A"/>
    <w:rsid w:val="0079385F"/>
    <w:rsid w:val="007B3838"/>
    <w:rsid w:val="007B4C45"/>
    <w:rsid w:val="007D3FA9"/>
    <w:rsid w:val="007E4F81"/>
    <w:rsid w:val="007F53BC"/>
    <w:rsid w:val="007F6AD1"/>
    <w:rsid w:val="00802171"/>
    <w:rsid w:val="00810107"/>
    <w:rsid w:val="00845D55"/>
    <w:rsid w:val="00857724"/>
    <w:rsid w:val="0087793D"/>
    <w:rsid w:val="008909C9"/>
    <w:rsid w:val="008921D7"/>
    <w:rsid w:val="0089797D"/>
    <w:rsid w:val="008F3DEF"/>
    <w:rsid w:val="0090149F"/>
    <w:rsid w:val="00930181"/>
    <w:rsid w:val="0094068F"/>
    <w:rsid w:val="009469EC"/>
    <w:rsid w:val="00960431"/>
    <w:rsid w:val="00960A24"/>
    <w:rsid w:val="00966209"/>
    <w:rsid w:val="00975F27"/>
    <w:rsid w:val="00976256"/>
    <w:rsid w:val="00983374"/>
    <w:rsid w:val="00984450"/>
    <w:rsid w:val="0099783B"/>
    <w:rsid w:val="009A61D7"/>
    <w:rsid w:val="009C7A44"/>
    <w:rsid w:val="009D36BC"/>
    <w:rsid w:val="009E5555"/>
    <w:rsid w:val="009E673A"/>
    <w:rsid w:val="00A10D6E"/>
    <w:rsid w:val="00A17849"/>
    <w:rsid w:val="00A34DC6"/>
    <w:rsid w:val="00A41338"/>
    <w:rsid w:val="00A527CF"/>
    <w:rsid w:val="00A624E1"/>
    <w:rsid w:val="00A91262"/>
    <w:rsid w:val="00AB5D85"/>
    <w:rsid w:val="00AD02F5"/>
    <w:rsid w:val="00AE636D"/>
    <w:rsid w:val="00B05BBA"/>
    <w:rsid w:val="00B54056"/>
    <w:rsid w:val="00B54B5C"/>
    <w:rsid w:val="00B64B49"/>
    <w:rsid w:val="00B66844"/>
    <w:rsid w:val="00B70B22"/>
    <w:rsid w:val="00BA3FC3"/>
    <w:rsid w:val="00BC6818"/>
    <w:rsid w:val="00BE5D0A"/>
    <w:rsid w:val="00BF6E8B"/>
    <w:rsid w:val="00C151A7"/>
    <w:rsid w:val="00C2627D"/>
    <w:rsid w:val="00C27914"/>
    <w:rsid w:val="00C97BE0"/>
    <w:rsid w:val="00CB171A"/>
    <w:rsid w:val="00CC26FE"/>
    <w:rsid w:val="00CC4EB3"/>
    <w:rsid w:val="00CD1401"/>
    <w:rsid w:val="00CD7482"/>
    <w:rsid w:val="00CE16EE"/>
    <w:rsid w:val="00CE21AB"/>
    <w:rsid w:val="00CF29AF"/>
    <w:rsid w:val="00CF5AD2"/>
    <w:rsid w:val="00D0019B"/>
    <w:rsid w:val="00D13D54"/>
    <w:rsid w:val="00D333BE"/>
    <w:rsid w:val="00D34C28"/>
    <w:rsid w:val="00D35BF0"/>
    <w:rsid w:val="00D45CB9"/>
    <w:rsid w:val="00D462EE"/>
    <w:rsid w:val="00D653FF"/>
    <w:rsid w:val="00D77B25"/>
    <w:rsid w:val="00D91352"/>
    <w:rsid w:val="00D926B0"/>
    <w:rsid w:val="00DA7AA8"/>
    <w:rsid w:val="00DC76EF"/>
    <w:rsid w:val="00DD6CD6"/>
    <w:rsid w:val="00DE1609"/>
    <w:rsid w:val="00E00E16"/>
    <w:rsid w:val="00E05F55"/>
    <w:rsid w:val="00E066F0"/>
    <w:rsid w:val="00E1390F"/>
    <w:rsid w:val="00E24D56"/>
    <w:rsid w:val="00E352CA"/>
    <w:rsid w:val="00E40984"/>
    <w:rsid w:val="00E42C94"/>
    <w:rsid w:val="00E52AFC"/>
    <w:rsid w:val="00E82181"/>
    <w:rsid w:val="00E9044B"/>
    <w:rsid w:val="00E9762D"/>
    <w:rsid w:val="00EA5C04"/>
    <w:rsid w:val="00EC2500"/>
    <w:rsid w:val="00ED039A"/>
    <w:rsid w:val="00EF456A"/>
    <w:rsid w:val="00F07AE6"/>
    <w:rsid w:val="00F31766"/>
    <w:rsid w:val="00F40CC4"/>
    <w:rsid w:val="00F41C26"/>
    <w:rsid w:val="00F471F8"/>
    <w:rsid w:val="00F57125"/>
    <w:rsid w:val="00F72DCE"/>
    <w:rsid w:val="00FA0A6C"/>
    <w:rsid w:val="00FB063F"/>
    <w:rsid w:val="00FB4B13"/>
    <w:rsid w:val="00FE0AEA"/>
    <w:rsid w:val="00FE198A"/>
    <w:rsid w:val="00FF77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92895"/>
  <w15:docId w15:val="{75EE3E12-2FBB-4141-8C88-D28F0E7F2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910D1"/>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1338"/>
    <w:pPr>
      <w:tabs>
        <w:tab w:val="center" w:pos="4680"/>
        <w:tab w:val="right" w:pos="9360"/>
      </w:tabs>
    </w:pPr>
  </w:style>
  <w:style w:type="character" w:customStyle="1" w:styleId="HeaderChar">
    <w:name w:val="Header Char"/>
    <w:basedOn w:val="DefaultParagraphFont"/>
    <w:link w:val="Header"/>
    <w:uiPriority w:val="99"/>
    <w:rsid w:val="00A41338"/>
  </w:style>
  <w:style w:type="paragraph" w:styleId="Footer">
    <w:name w:val="footer"/>
    <w:basedOn w:val="Normal"/>
    <w:link w:val="FooterChar"/>
    <w:uiPriority w:val="99"/>
    <w:unhideWhenUsed/>
    <w:rsid w:val="005E2D28"/>
    <w:pPr>
      <w:tabs>
        <w:tab w:val="center" w:pos="4680"/>
        <w:tab w:val="right" w:pos="9360"/>
      </w:tabs>
    </w:pPr>
  </w:style>
  <w:style w:type="character" w:customStyle="1" w:styleId="FooterChar">
    <w:name w:val="Footer Char"/>
    <w:basedOn w:val="DefaultParagraphFont"/>
    <w:link w:val="Footer"/>
    <w:uiPriority w:val="99"/>
    <w:rsid w:val="005E2D28"/>
  </w:style>
  <w:style w:type="paragraph" w:styleId="BalloonText">
    <w:name w:val="Balloon Text"/>
    <w:basedOn w:val="Normal"/>
    <w:link w:val="BalloonTextChar"/>
    <w:uiPriority w:val="99"/>
    <w:semiHidden/>
    <w:unhideWhenUsed/>
    <w:rsid w:val="005E2D28"/>
    <w:rPr>
      <w:rFonts w:ascii="Tahoma" w:hAnsi="Tahoma" w:cs="Tahoma"/>
      <w:sz w:val="16"/>
      <w:szCs w:val="16"/>
    </w:rPr>
  </w:style>
  <w:style w:type="character" w:customStyle="1" w:styleId="BalloonTextChar">
    <w:name w:val="Balloon Text Char"/>
    <w:link w:val="BalloonText"/>
    <w:uiPriority w:val="99"/>
    <w:semiHidden/>
    <w:rsid w:val="005E2D28"/>
    <w:rPr>
      <w:rFonts w:ascii="Tahoma" w:hAnsi="Tahoma" w:cs="Tahoma"/>
      <w:sz w:val="16"/>
      <w:szCs w:val="16"/>
    </w:rPr>
  </w:style>
  <w:style w:type="character" w:styleId="Hyperlink">
    <w:name w:val="Hyperlink"/>
    <w:uiPriority w:val="99"/>
    <w:unhideWhenUsed/>
    <w:rsid w:val="00C97BE0"/>
    <w:rPr>
      <w:color w:val="0000FF"/>
      <w:u w:val="single"/>
    </w:rPr>
  </w:style>
  <w:style w:type="table" w:styleId="TableGrid">
    <w:name w:val="Table Grid"/>
    <w:basedOn w:val="TableNormal"/>
    <w:uiPriority w:val="59"/>
    <w:rsid w:val="00491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507017">
      <w:bodyDiv w:val="1"/>
      <w:marLeft w:val="0"/>
      <w:marRight w:val="0"/>
      <w:marTop w:val="0"/>
      <w:marBottom w:val="0"/>
      <w:divBdr>
        <w:top w:val="none" w:sz="0" w:space="0" w:color="auto"/>
        <w:left w:val="none" w:sz="0" w:space="0" w:color="auto"/>
        <w:bottom w:val="none" w:sz="0" w:space="0" w:color="auto"/>
        <w:right w:val="none" w:sz="0" w:space="0" w:color="auto"/>
      </w:divBdr>
    </w:div>
    <w:div w:id="1188763162">
      <w:bodyDiv w:val="1"/>
      <w:marLeft w:val="0"/>
      <w:marRight w:val="0"/>
      <w:marTop w:val="0"/>
      <w:marBottom w:val="0"/>
      <w:divBdr>
        <w:top w:val="none" w:sz="0" w:space="0" w:color="auto"/>
        <w:left w:val="none" w:sz="0" w:space="0" w:color="auto"/>
        <w:bottom w:val="none" w:sz="0" w:space="0" w:color="auto"/>
        <w:right w:val="none" w:sz="0" w:space="0" w:color="auto"/>
      </w:divBdr>
    </w:div>
    <w:div w:id="1433666013">
      <w:bodyDiv w:val="1"/>
      <w:marLeft w:val="0"/>
      <w:marRight w:val="0"/>
      <w:marTop w:val="0"/>
      <w:marBottom w:val="0"/>
      <w:divBdr>
        <w:top w:val="none" w:sz="0" w:space="0" w:color="auto"/>
        <w:left w:val="none" w:sz="0" w:space="0" w:color="auto"/>
        <w:bottom w:val="none" w:sz="0" w:space="0" w:color="auto"/>
        <w:right w:val="none" w:sz="0" w:space="0" w:color="auto"/>
      </w:divBdr>
    </w:div>
    <w:div w:id="1436515746">
      <w:bodyDiv w:val="1"/>
      <w:marLeft w:val="0"/>
      <w:marRight w:val="0"/>
      <w:marTop w:val="0"/>
      <w:marBottom w:val="0"/>
      <w:divBdr>
        <w:top w:val="none" w:sz="0" w:space="0" w:color="auto"/>
        <w:left w:val="none" w:sz="0" w:space="0" w:color="auto"/>
        <w:bottom w:val="none" w:sz="0" w:space="0" w:color="auto"/>
        <w:right w:val="none" w:sz="0" w:space="0" w:color="auto"/>
      </w:divBdr>
    </w:div>
    <w:div w:id="1452095699">
      <w:bodyDiv w:val="1"/>
      <w:marLeft w:val="0"/>
      <w:marRight w:val="0"/>
      <w:marTop w:val="0"/>
      <w:marBottom w:val="0"/>
      <w:divBdr>
        <w:top w:val="none" w:sz="0" w:space="0" w:color="auto"/>
        <w:left w:val="none" w:sz="0" w:space="0" w:color="auto"/>
        <w:bottom w:val="none" w:sz="0" w:space="0" w:color="auto"/>
        <w:right w:val="none" w:sz="0" w:space="0" w:color="auto"/>
      </w:divBdr>
    </w:div>
    <w:div w:id="202959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aad.abdelrahman\Desktop\Letterhead%20Bilingual_last%20updated%2002.09.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BBC75-4453-47E7-AB25-CC413509F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Bilingual_last updated 02.09.2019</Template>
  <TotalTime>0</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Menacom</Company>
  <LinksUpToDate>false</LinksUpToDate>
  <CharactersWithSpaces>2494</CharactersWithSpaces>
  <SharedDoc>false</SharedDoc>
  <HLinks>
    <vt:vector size="36" baseType="variant">
      <vt:variant>
        <vt:i4>2621535</vt:i4>
      </vt:variant>
      <vt:variant>
        <vt:i4>15</vt:i4>
      </vt:variant>
      <vt:variant>
        <vt:i4>0</vt:i4>
      </vt:variant>
      <vt:variant>
        <vt:i4>5</vt:i4>
      </vt:variant>
      <vt:variant>
        <vt:lpwstr>Mohammad.almheiri@dewa.gov.ae</vt:lpwstr>
      </vt:variant>
      <vt:variant>
        <vt:lpwstr/>
      </vt:variant>
      <vt:variant>
        <vt:i4>5898295</vt:i4>
      </vt:variant>
      <vt:variant>
        <vt:i4>12</vt:i4>
      </vt:variant>
      <vt:variant>
        <vt:i4>0</vt:i4>
      </vt:variant>
      <vt:variant>
        <vt:i4>5</vt:i4>
      </vt:variant>
      <vt:variant>
        <vt:lpwstr>Shaikha.almheiri@dewa.gov.ae</vt:lpwstr>
      </vt:variant>
      <vt:variant>
        <vt:lpwstr/>
      </vt:variant>
      <vt:variant>
        <vt:i4>3670036</vt:i4>
      </vt:variant>
      <vt:variant>
        <vt:i4>9</vt:i4>
      </vt:variant>
      <vt:variant>
        <vt:i4>0</vt:i4>
      </vt:variant>
      <vt:variant>
        <vt:i4>5</vt:i4>
      </vt:variant>
      <vt:variant>
        <vt:lpwstr>Media@dewa.gov.ae</vt:lpwstr>
      </vt:variant>
      <vt:variant>
        <vt:lpwstr/>
      </vt:variant>
      <vt:variant>
        <vt:i4>2621535</vt:i4>
      </vt:variant>
      <vt:variant>
        <vt:i4>6</vt:i4>
      </vt:variant>
      <vt:variant>
        <vt:i4>0</vt:i4>
      </vt:variant>
      <vt:variant>
        <vt:i4>5</vt:i4>
      </vt:variant>
      <vt:variant>
        <vt:lpwstr>Mohammad.almheiri@dewa.gov.ae</vt:lpwstr>
      </vt:variant>
      <vt:variant>
        <vt:lpwstr/>
      </vt:variant>
      <vt:variant>
        <vt:i4>5898295</vt:i4>
      </vt:variant>
      <vt:variant>
        <vt:i4>3</vt:i4>
      </vt:variant>
      <vt:variant>
        <vt:i4>0</vt:i4>
      </vt:variant>
      <vt:variant>
        <vt:i4>5</vt:i4>
      </vt:variant>
      <vt:variant>
        <vt:lpwstr>Shaikha.almheiri@dewa.gov.ae</vt:lpwstr>
      </vt:variant>
      <vt:variant>
        <vt:lpwstr/>
      </vt:variant>
      <vt:variant>
        <vt:i4>3670036</vt:i4>
      </vt:variant>
      <vt:variant>
        <vt:i4>0</vt:i4>
      </vt:variant>
      <vt:variant>
        <vt:i4>0</vt:i4>
      </vt:variant>
      <vt:variant>
        <vt:i4>5</vt:i4>
      </vt:variant>
      <vt:variant>
        <vt:lpwstr>Media@dewa.gov.ae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Mosaad Saad Abdelrahman</dc:creator>
  <cp:keywords/>
  <cp:lastModifiedBy>Asma Mohd Ali Sarwashi</cp:lastModifiedBy>
  <cp:revision>2</cp:revision>
  <dcterms:created xsi:type="dcterms:W3CDTF">2023-04-10T05:04:00Z</dcterms:created>
  <dcterms:modified xsi:type="dcterms:W3CDTF">2023-04-10T05:04:00Z</dcterms:modified>
</cp:coreProperties>
</file>